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kinsoku w:val="0"/>
        <w:overflowPunct w:val="0"/>
        <w:autoSpaceDE w:val="0"/>
        <w:autoSpaceDN w:val="0"/>
        <w:adjustRightInd w:val="0"/>
        <w:spacing w:before="0" w:after="0" w:line="560" w:lineRule="exact"/>
        <w:ind w:left="0" w:right="0" w:firstLine="0"/>
        <w:jc w:val="center"/>
        <w:rPr>
          <w:rFonts w:hint="eastAsia" w:ascii="黑体" w:hAnsi="黑体" w:eastAsia="黑体" w:cs="黑体"/>
          <w:b/>
          <w:kern w:val="2"/>
          <w:sz w:val="36"/>
          <w:szCs w:val="36"/>
          <w:lang w:val="en-US" w:eastAsia="zh-CN" w:bidi="ar-SA"/>
        </w:rPr>
      </w:pPr>
      <w:r>
        <w:rPr>
          <w:rFonts w:hint="eastAsia" w:ascii="黑体" w:hAnsi="黑体" w:eastAsia="黑体" w:cs="黑体"/>
          <w:b/>
          <w:kern w:val="2"/>
          <w:sz w:val="36"/>
          <w:szCs w:val="36"/>
          <w:lang w:val="en-US" w:bidi="ar-SA"/>
        </w:rPr>
        <w:t>“泰格杯”</w:t>
      </w:r>
      <w:r>
        <w:rPr>
          <w:rFonts w:hint="eastAsia" w:ascii="黑体" w:hAnsi="黑体" w:eastAsia="黑体" w:cs="黑体"/>
          <w:b/>
          <w:kern w:val="2"/>
          <w:sz w:val="36"/>
          <w:szCs w:val="36"/>
          <w:lang w:val="en-US" w:eastAsia="zh-CN" w:bidi="ar-SA"/>
        </w:rPr>
        <w:t>医药创新创业大赛专项赛道</w:t>
      </w:r>
    </w:p>
    <w:p>
      <w:pPr>
        <w:pStyle w:val="4"/>
        <w:widowControl/>
        <w:kinsoku w:val="0"/>
        <w:overflowPunct w:val="0"/>
        <w:autoSpaceDE w:val="0"/>
        <w:autoSpaceDN w:val="0"/>
        <w:adjustRightInd w:val="0"/>
        <w:spacing w:before="0" w:after="0" w:line="560" w:lineRule="exact"/>
        <w:ind w:left="0" w:right="0" w:firstLine="0"/>
        <w:jc w:val="center"/>
        <w:rPr>
          <w:rFonts w:hint="default" w:ascii="黑体" w:hAnsi="黑体" w:eastAsia="黑体" w:cs="黑体"/>
          <w:b/>
          <w:kern w:val="2"/>
          <w:sz w:val="36"/>
          <w:szCs w:val="36"/>
          <w:lang w:val="en-US" w:eastAsia="zh-CN" w:bidi="ar-SA"/>
        </w:rPr>
      </w:pPr>
      <w:r>
        <w:rPr>
          <w:rFonts w:hint="eastAsia" w:ascii="黑体" w:hAnsi="黑体" w:eastAsia="黑体" w:cs="黑体"/>
          <w:b/>
          <w:kern w:val="2"/>
          <w:sz w:val="36"/>
          <w:szCs w:val="36"/>
          <w:lang w:val="en-US" w:bidi="ar-SA"/>
        </w:rPr>
        <w:t xml:space="preserve">- </w:t>
      </w:r>
      <w:r>
        <w:rPr>
          <w:rFonts w:hint="eastAsia" w:ascii="黑体" w:hAnsi="黑体" w:eastAsia="黑体" w:cs="黑体"/>
          <w:b/>
          <w:kern w:val="2"/>
          <w:sz w:val="36"/>
          <w:szCs w:val="36"/>
          <w:lang w:val="en-US" w:eastAsia="zh-CN" w:bidi="ar-SA"/>
        </w:rPr>
        <w:t>“IFF”儿童用药创新大赛</w:t>
      </w:r>
    </w:p>
    <w:p>
      <w:pPr>
        <w:pStyle w:val="5"/>
        <w:spacing w:before="16"/>
        <w:rPr>
          <w:b/>
          <w:sz w:val="21"/>
        </w:rPr>
      </w:pPr>
    </w:p>
    <w:p>
      <w:pPr>
        <w:widowControl/>
        <w:autoSpaceDE/>
        <w:autoSpaceDN/>
        <w:spacing w:before="0" w:after="0" w:line="560" w:lineRule="exact"/>
        <w:ind w:left="0" w:right="0" w:firstLine="643" w:firstLineChars="200"/>
        <w:jc w:val="left"/>
        <w:rPr>
          <w:rFonts w:hint="eastAsia" w:ascii="黑体" w:hAnsi="黑体" w:eastAsia="黑体" w:cs="Times New Roman"/>
          <w:b/>
          <w:bCs/>
          <w:color w:val="000000"/>
          <w:kern w:val="2"/>
          <w:sz w:val="32"/>
          <w:szCs w:val="32"/>
          <w:lang w:val="en-US" w:eastAsia="zh-CN" w:bidi="ar-SA"/>
        </w:rPr>
      </w:pPr>
      <w:r>
        <w:rPr>
          <w:rFonts w:hint="eastAsia" w:ascii="黑体" w:hAnsi="黑体" w:eastAsia="黑体" w:cs="Times New Roman"/>
          <w:b/>
          <w:bCs/>
          <w:color w:val="000000"/>
          <w:kern w:val="2"/>
          <w:sz w:val="32"/>
          <w:szCs w:val="32"/>
          <w:lang w:val="en-US" w:eastAsia="zh-CN" w:bidi="ar-SA"/>
        </w:rPr>
        <w:t>一、主办单位</w:t>
      </w:r>
    </w:p>
    <w:p>
      <w:pPr>
        <w:pStyle w:val="6"/>
        <w:widowControl/>
        <w:shd w:val="clear" w:color="auto" w:fill="FFFFFF"/>
        <w:autoSpaceDE/>
        <w:autoSpaceDN/>
        <w:spacing w:before="0" w:beforeAutospacing="0" w:after="0" w:afterAutospacing="0" w:line="500" w:lineRule="exact"/>
        <w:ind w:left="0" w:right="0" w:firstLine="672"/>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中国药科大学药学院</w:t>
      </w:r>
    </w:p>
    <w:p>
      <w:pPr>
        <w:pStyle w:val="6"/>
        <w:widowControl/>
        <w:shd w:val="clear" w:color="auto" w:fill="FFFFFF"/>
        <w:autoSpaceDE/>
        <w:autoSpaceDN/>
        <w:spacing w:before="0" w:beforeAutospacing="0" w:after="0" w:afterAutospacing="0" w:line="500" w:lineRule="exact"/>
        <w:ind w:left="0" w:right="0" w:firstLine="672"/>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杭州泰格医药科技股份有限公司</w:t>
      </w:r>
    </w:p>
    <w:p>
      <w:pPr>
        <w:pStyle w:val="6"/>
        <w:widowControl/>
        <w:shd w:val="clear" w:color="auto" w:fill="FFFFFF"/>
        <w:autoSpaceDE/>
        <w:autoSpaceDN/>
        <w:spacing w:before="0" w:beforeAutospacing="0" w:after="0" w:afterAutospacing="0" w:line="500" w:lineRule="exact"/>
        <w:ind w:left="0" w:right="0" w:firstLine="672"/>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IFF 国际香精香料公司（原陶氏化学及 FMC 药品业务部）</w:t>
      </w:r>
    </w:p>
    <w:p>
      <w:pPr>
        <w:widowControl/>
        <w:autoSpaceDE/>
        <w:autoSpaceDN/>
        <w:spacing w:before="0" w:after="0" w:line="560" w:lineRule="exact"/>
        <w:ind w:left="0" w:right="0" w:firstLine="643" w:firstLineChars="200"/>
        <w:jc w:val="left"/>
        <w:rPr>
          <w:rFonts w:hint="default" w:eastAsia="黑体"/>
          <w:b/>
          <w:sz w:val="33"/>
          <w:lang w:val="en-US" w:eastAsia="zh-CN"/>
        </w:rPr>
      </w:pPr>
      <w:r>
        <w:rPr>
          <w:rFonts w:hint="eastAsia" w:ascii="黑体" w:hAnsi="黑体" w:eastAsia="黑体" w:cs="Times New Roman"/>
          <w:b/>
          <w:bCs/>
          <w:color w:val="000000"/>
          <w:kern w:val="2"/>
          <w:sz w:val="32"/>
          <w:szCs w:val="32"/>
          <w:lang w:val="en-US" w:bidi="ar-SA"/>
        </w:rPr>
        <w:t>二、</w:t>
      </w:r>
      <w:r>
        <w:rPr>
          <w:rFonts w:hint="eastAsia" w:ascii="黑体" w:hAnsi="黑体" w:eastAsia="黑体" w:cs="Times New Roman"/>
          <w:b/>
          <w:bCs/>
          <w:color w:val="000000"/>
          <w:kern w:val="2"/>
          <w:sz w:val="32"/>
          <w:szCs w:val="32"/>
          <w:lang w:val="en-US" w:eastAsia="zh-CN" w:bidi="ar-SA"/>
        </w:rPr>
        <w:t>赛事背景</w:t>
      </w:r>
    </w:p>
    <w:p>
      <w:pPr>
        <w:pStyle w:val="6"/>
        <w:widowControl/>
        <w:shd w:val="clear" w:color="auto" w:fill="FFFFFF"/>
        <w:autoSpaceDE/>
        <w:autoSpaceDN/>
        <w:spacing w:before="0" w:beforeAutospacing="0" w:after="0" w:afterAutospacing="0" w:line="500" w:lineRule="exact"/>
        <w:ind w:left="0" w:right="0" w:firstLine="672"/>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因我国医药行业发展时间较短等原因，过去儿童专用药市场存在着非常大的空白。最新公布的国家统计局第七次人口普查数据显示，我国 14 岁以下的儿童在全国人口占比为 17.95%，随着三胎政策等新的人口政策的出台和落地，我国儿童人口数量将实现持续增长，儿童用药的需求也将越来越大。需求大、竞争小、多政策扶持的市场环境也使儿童专用药的开发面临前所未有的发展机遇。</w:t>
      </w:r>
    </w:p>
    <w:p>
      <w:pPr>
        <w:pStyle w:val="6"/>
        <w:widowControl/>
        <w:shd w:val="clear" w:color="auto" w:fill="FFFFFF"/>
        <w:autoSpaceDE/>
        <w:autoSpaceDN/>
        <w:spacing w:before="0" w:beforeAutospacing="0" w:after="0" w:afterAutospacing="0" w:line="500" w:lineRule="exact"/>
        <w:ind w:left="0" w:right="0" w:firstLine="672"/>
        <w:jc w:val="both"/>
        <w:rPr>
          <w:sz w:val="32"/>
        </w:rPr>
      </w:pPr>
      <w:r>
        <w:rPr>
          <w:rFonts w:hint="eastAsia" w:ascii="仿宋_GB2312" w:hAnsi="微软雅黑" w:eastAsia="仿宋_GB2312"/>
          <w:color w:val="333333"/>
          <w:spacing w:val="8"/>
          <w:sz w:val="32"/>
          <w:szCs w:val="32"/>
          <w:lang w:val="en-US" w:bidi="ar-SA"/>
        </w:rPr>
        <w:t>对于多数药物制剂来讲，去除异味对于提高其适口性而言至关重要，婴幼儿相比于成人又有着较低的长期服药率， 这主要归结于对药物制剂的适口性。而适口性很大程度上取决于制剂的口味，部分制剂中的活性药物成分带有着不同类型的异味，对于可以吞咽片剂的成人，因为片剂可以处在包衣的保护层下，从而掩盖了 API 的味道，这一问题常常被大家所忽视。但在婴幼儿人群中，因吞咽困难，制剂类型又常以口服液体为主，较低的适口性常常使婴幼儿对药物制剂产生较强的抵触性，因此如何帮助制剂掩盖不同类型的异味成为了提高制剂适口性的一大挑战。</w:t>
      </w:r>
    </w:p>
    <w:p>
      <w:pPr>
        <w:widowControl/>
        <w:autoSpaceDE/>
        <w:autoSpaceDN/>
        <w:spacing w:before="0" w:after="0" w:line="560" w:lineRule="exact"/>
        <w:ind w:left="0" w:right="0" w:firstLine="643" w:firstLineChars="200"/>
        <w:jc w:val="left"/>
        <w:rPr>
          <w:b/>
          <w:sz w:val="33"/>
        </w:rPr>
      </w:pPr>
      <w:r>
        <w:rPr>
          <w:rFonts w:hint="eastAsia" w:ascii="黑体" w:hAnsi="黑体" w:eastAsia="黑体" w:cs="Times New Roman"/>
          <w:b/>
          <w:bCs/>
          <w:color w:val="000000"/>
          <w:kern w:val="2"/>
          <w:sz w:val="32"/>
          <w:szCs w:val="32"/>
          <w:lang w:val="en-US" w:bidi="ar-SA"/>
        </w:rPr>
        <w:t>三、竞赛主题</w:t>
      </w:r>
      <w:bookmarkStart w:id="0" w:name="_GoBack"/>
      <w:bookmarkEnd w:id="0"/>
    </w:p>
    <w:p>
      <w:pPr>
        <w:pStyle w:val="6"/>
        <w:widowControl/>
        <w:shd w:val="clear" w:color="auto" w:fill="FFFFFF"/>
        <w:autoSpaceDE/>
        <w:autoSpaceDN/>
        <w:spacing w:before="0" w:beforeAutospacing="0" w:after="0" w:afterAutospacing="0" w:line="500" w:lineRule="exact"/>
        <w:ind w:left="0" w:right="0" w:firstLine="672"/>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使用 IFF 辅料产品设计一款儿童用药制剂配方。</w:t>
      </w:r>
    </w:p>
    <w:p>
      <w:pPr>
        <w:widowControl/>
        <w:autoSpaceDE/>
        <w:autoSpaceDN/>
        <w:spacing w:before="0" w:after="0" w:line="560" w:lineRule="exact"/>
        <w:ind w:left="0" w:right="0" w:firstLine="643" w:firstLineChars="200"/>
        <w:jc w:val="left"/>
        <w:rPr>
          <w:rFonts w:hint="eastAsia" w:ascii="黑体" w:hAnsi="黑体" w:eastAsia="黑体" w:cs="Times New Roman"/>
          <w:b/>
          <w:bCs/>
          <w:color w:val="000000"/>
          <w:kern w:val="2"/>
          <w:sz w:val="32"/>
          <w:szCs w:val="32"/>
          <w:lang w:val="en-US" w:bidi="ar-SA"/>
        </w:rPr>
      </w:pPr>
      <w:r>
        <w:rPr>
          <w:rFonts w:hint="eastAsia" w:ascii="黑体" w:hAnsi="黑体" w:eastAsia="黑体" w:cs="Times New Roman"/>
          <w:b/>
          <w:bCs/>
          <w:color w:val="000000"/>
          <w:kern w:val="2"/>
          <w:sz w:val="32"/>
          <w:szCs w:val="32"/>
          <w:lang w:val="en-US" w:bidi="ar-SA"/>
        </w:rPr>
        <w:t>四、参赛对象</w:t>
      </w:r>
    </w:p>
    <w:p>
      <w:pPr>
        <w:pStyle w:val="5"/>
        <w:spacing w:before="15"/>
        <w:rPr>
          <w:b/>
          <w:sz w:val="38"/>
        </w:rPr>
      </w:pPr>
    </w:p>
    <w:p>
      <w:pPr>
        <w:pStyle w:val="6"/>
        <w:widowControl/>
        <w:shd w:val="clear" w:color="auto" w:fill="FFFFFF"/>
        <w:autoSpaceDE/>
        <w:autoSpaceDN/>
        <w:spacing w:before="0" w:beforeAutospacing="0" w:after="0" w:afterAutospacing="0" w:line="500" w:lineRule="exact"/>
        <w:ind w:left="0" w:right="0" w:firstLine="672"/>
        <w:jc w:val="both"/>
        <w:rPr>
          <w:rFonts w:hint="eastAsia" w:ascii="仿宋_GB2312" w:hAnsi="微软雅黑" w:eastAsia="仿宋_GB2312"/>
          <w:color w:val="333333"/>
          <w:spacing w:val="8"/>
          <w:sz w:val="32"/>
          <w:szCs w:val="32"/>
          <w:lang w:val="en-US" w:eastAsia="zh-CN" w:bidi="ar-SA"/>
        </w:rPr>
      </w:pPr>
      <w:r>
        <w:rPr>
          <w:rFonts w:hint="eastAsia" w:ascii="仿宋_GB2312" w:hAnsi="微软雅黑" w:eastAsia="仿宋_GB2312"/>
          <w:color w:val="333333"/>
          <w:spacing w:val="8"/>
          <w:sz w:val="32"/>
          <w:szCs w:val="32"/>
          <w:lang w:val="en-US" w:bidi="ar-SA"/>
        </w:rPr>
        <w:t>以团队形式参赛，团队人数为 2-6 人，本科生、硕士研究生均可参赛，每支团队可配备 1-2 名指导教师。可以跨专业、跨校、跨地域</w:t>
      </w:r>
      <w:r>
        <w:rPr>
          <w:rFonts w:hint="eastAsia" w:ascii="仿宋_GB2312" w:hAnsi="微软雅黑" w:eastAsia="仿宋_GB2312"/>
          <w:color w:val="333333"/>
          <w:spacing w:val="8"/>
          <w:sz w:val="32"/>
          <w:szCs w:val="32"/>
          <w:lang w:val="en-US" w:eastAsia="zh-CN" w:bidi="ar-SA"/>
        </w:rPr>
        <w:t>组队。</w:t>
      </w:r>
    </w:p>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同一个参赛团队可以提交最多两个方案，每个方案单独参与评比参赛的内容须具有创新性和独立性，参赛团队可以与导师进行讨论、寻求帮助，但参赛产品应当是参赛团队独立研究构思得到的结果。</w:t>
      </w:r>
    </w:p>
    <w:p>
      <w:pPr>
        <w:widowControl/>
        <w:autoSpaceDE/>
        <w:autoSpaceDN/>
        <w:spacing w:before="0" w:after="0" w:line="560" w:lineRule="exact"/>
        <w:ind w:left="0" w:right="0" w:firstLine="643" w:firstLineChars="200"/>
        <w:jc w:val="left"/>
        <w:rPr>
          <w:rFonts w:hint="eastAsia" w:ascii="仿宋_GB2312" w:hAnsi="微软雅黑" w:eastAsia="仿宋_GB2312"/>
          <w:color w:val="333333"/>
          <w:spacing w:val="8"/>
          <w:sz w:val="32"/>
          <w:szCs w:val="32"/>
          <w:lang w:val="en-US" w:bidi="ar-SA"/>
        </w:rPr>
      </w:pPr>
      <w:r>
        <w:rPr>
          <w:rFonts w:hint="eastAsia" w:ascii="黑体" w:hAnsi="黑体" w:eastAsia="黑体" w:cs="Times New Roman"/>
          <w:b/>
          <w:bCs/>
          <w:color w:val="000000"/>
          <w:kern w:val="2"/>
          <w:sz w:val="32"/>
          <w:szCs w:val="32"/>
          <w:lang w:val="en-US" w:eastAsia="zh-CN" w:bidi="ar-SA"/>
        </w:rPr>
        <w:t>五、竞赛模式</w:t>
      </w:r>
    </w:p>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竞赛共分为两个阶段，第一阶段为线上方案评比，参赛团队需设计出一款含有 IFF 辅料产品的儿童用药制剂配方，并以文字、图片和视频等方式详细阐述配方的设计过程（此阶段不要求制作出实物样品），主办方技术专家团队将从方案技术创新及可行性等角度对其进行评估，并挑选 5 组团队，进入下一阶段。</w:t>
      </w:r>
    </w:p>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第二阶段为线下竞赛，主办方将提供参赛团队所需的相关材料和技术指导，晋级第二阶段的 5 组团队将根据主办方技术专家的建议，对其方案进行修改和完善，利用实验器材制作出实物样品。并在现场对其方案进行讲解，主办方将对各支队伍进行综合打分，评选出各类奖项。</w:t>
      </w:r>
    </w:p>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eastAsia="zh-CN" w:bidi="ar-SA"/>
        </w:rPr>
      </w:pPr>
      <w:r>
        <w:rPr>
          <w:rFonts w:hint="eastAsia" w:ascii="仿宋_GB2312" w:hAnsi="微软雅黑" w:eastAsia="仿宋_GB2312"/>
          <w:color w:val="333333"/>
          <w:spacing w:val="8"/>
          <w:sz w:val="32"/>
          <w:szCs w:val="32"/>
          <w:lang w:val="en-US" w:bidi="ar-SA"/>
        </w:rPr>
        <w:t>IFF 技术专家将组织儿童用药和制剂掩味专题课程，帮助同学们更好的了解相关课题和 IFF 辅料产品。</w:t>
      </w:r>
    </w:p>
    <w:p>
      <w:pPr>
        <w:widowControl/>
        <w:autoSpaceDE/>
        <w:autoSpaceDN/>
        <w:spacing w:before="0" w:after="0" w:line="560" w:lineRule="exact"/>
        <w:ind w:left="0" w:right="0" w:firstLine="643" w:firstLineChars="200"/>
        <w:jc w:val="left"/>
        <w:rPr>
          <w:b/>
          <w:sz w:val="30"/>
        </w:rPr>
      </w:pPr>
      <w:r>
        <w:rPr>
          <w:rFonts w:hint="eastAsia" w:ascii="黑体" w:hAnsi="黑体" w:eastAsia="黑体" w:cs="Times New Roman"/>
          <w:b/>
          <w:bCs/>
          <w:color w:val="000000"/>
          <w:kern w:val="2"/>
          <w:sz w:val="32"/>
          <w:szCs w:val="32"/>
          <w:lang w:val="en-US" w:bidi="ar-SA"/>
        </w:rPr>
        <w:t>六、时间安排</w:t>
      </w:r>
    </w:p>
    <w:p>
      <w:pPr>
        <w:pStyle w:val="6"/>
        <w:widowControl/>
        <w:shd w:val="clear" w:color="auto" w:fill="FFFFFF"/>
        <w:autoSpaceDE/>
        <w:autoSpaceDN/>
        <w:spacing w:before="0" w:beforeAutospacing="0" w:after="0" w:afterAutospacing="0" w:line="500" w:lineRule="exact"/>
        <w:ind w:left="0" w:right="0" w:firstLine="672"/>
        <w:jc w:val="both"/>
        <w:rPr>
          <w:rFonts w:hint="eastAsia" w:ascii="仿宋_GB2312" w:hAnsi="微软雅黑" w:eastAsia="仿宋_GB2312"/>
          <w:color w:val="333333"/>
          <w:spacing w:val="8"/>
          <w:sz w:val="32"/>
          <w:szCs w:val="32"/>
          <w:lang w:val="en-US" w:eastAsia="zh-CN" w:bidi="ar-SA"/>
        </w:rPr>
      </w:pPr>
      <w:r>
        <w:rPr>
          <w:rFonts w:hint="eastAsia" w:ascii="仿宋_GB2312" w:hAnsi="微软雅黑" w:eastAsia="仿宋_GB2312"/>
          <w:color w:val="333333"/>
          <w:spacing w:val="8"/>
          <w:sz w:val="32"/>
          <w:szCs w:val="32"/>
          <w:lang w:val="en-US" w:bidi="ar-SA"/>
        </w:rPr>
        <w:t>参赛团队或个人下载并填写《“泰格杯”医药创新创业大赛报名表》（详见附件1），以“负责人+项目名称+赛道”命名，</w:t>
      </w:r>
      <w:r>
        <w:rPr>
          <w:rFonts w:hint="eastAsia" w:ascii="仿宋_GB2312" w:hAnsi="微软雅黑" w:eastAsia="仿宋_GB2312"/>
          <w:color w:val="333333"/>
          <w:spacing w:val="8"/>
          <w:sz w:val="32"/>
          <w:szCs w:val="32"/>
          <w:lang w:val="en-US" w:bidi="ar-SA"/>
        </w:rPr>
        <w:fldChar w:fldCharType="begin"/>
      </w:r>
      <w:r>
        <w:rPr>
          <w:rFonts w:hint="eastAsia" w:ascii="仿宋_GB2312" w:hAnsi="微软雅黑" w:eastAsia="仿宋_GB2312"/>
          <w:color w:val="333333"/>
          <w:spacing w:val="8"/>
          <w:sz w:val="32"/>
          <w:szCs w:val="32"/>
          <w:lang w:val="en-US" w:bidi="ar-SA"/>
        </w:rPr>
        <w:instrText xml:space="preserve"> HYPERLINK "mailto:于10月22日前发送至邮箱pharmasolutions@iff.com" </w:instrText>
      </w:r>
      <w:r>
        <w:rPr>
          <w:rFonts w:hint="eastAsia" w:ascii="仿宋_GB2312" w:hAnsi="微软雅黑" w:eastAsia="仿宋_GB2312"/>
          <w:color w:val="333333"/>
          <w:spacing w:val="8"/>
          <w:sz w:val="32"/>
          <w:szCs w:val="32"/>
          <w:lang w:val="en-US" w:bidi="ar-SA"/>
        </w:rPr>
        <w:fldChar w:fldCharType="separate"/>
      </w:r>
      <w:r>
        <w:rPr>
          <w:rFonts w:hint="eastAsia" w:ascii="仿宋_GB2312" w:hAnsi="微软雅黑" w:eastAsia="仿宋_GB2312"/>
          <w:color w:val="333333"/>
          <w:spacing w:val="8"/>
          <w:sz w:val="32"/>
          <w:szCs w:val="32"/>
          <w:lang w:val="en-US" w:bidi="ar-SA"/>
        </w:rPr>
        <w:t>于</w:t>
      </w:r>
      <w:r>
        <w:rPr>
          <w:rFonts w:hint="eastAsia" w:ascii="仿宋_GB2312" w:hAnsi="微软雅黑" w:eastAsia="仿宋_GB2312"/>
          <w:b/>
          <w:bCs/>
          <w:color w:val="333333"/>
          <w:spacing w:val="8"/>
          <w:sz w:val="32"/>
          <w:szCs w:val="32"/>
          <w:lang w:val="en-US" w:bidi="ar-SA"/>
        </w:rPr>
        <w:t>10月22日</w:t>
      </w:r>
      <w:r>
        <w:rPr>
          <w:rFonts w:hint="eastAsia" w:ascii="仿宋_GB2312" w:hAnsi="微软雅黑" w:eastAsia="仿宋_GB2312"/>
          <w:color w:val="333333"/>
          <w:spacing w:val="8"/>
          <w:sz w:val="32"/>
          <w:szCs w:val="32"/>
          <w:lang w:val="en-US" w:bidi="ar-SA"/>
        </w:rPr>
        <w:t>前发送至邮箱</w:t>
      </w:r>
      <w:r>
        <w:rPr>
          <w:rFonts w:hint="eastAsia" w:ascii="仿宋_GB2312" w:hAnsi="微软雅黑" w:eastAsia="仿宋_GB2312"/>
          <w:color w:val="333333"/>
          <w:spacing w:val="8"/>
          <w:sz w:val="32"/>
          <w:szCs w:val="32"/>
          <w:lang w:val="en-US" w:bidi="ar-SA"/>
        </w:rPr>
        <w:fldChar w:fldCharType="end"/>
      </w:r>
      <w:r>
        <w:rPr>
          <w:rFonts w:hint="eastAsia" w:ascii="仿宋_GB2312" w:hAnsi="微软雅黑" w:eastAsia="仿宋_GB2312"/>
          <w:color w:val="333333"/>
          <w:spacing w:val="8"/>
          <w:sz w:val="32"/>
          <w:szCs w:val="32"/>
          <w:lang w:val="en-US" w:bidi="ar-SA"/>
        </w:rPr>
        <w:t>724064382@qq.com</w:t>
      </w:r>
      <w:r>
        <w:rPr>
          <w:rFonts w:hint="eastAsia" w:ascii="仿宋_GB2312" w:hAnsi="微软雅黑" w:eastAsia="仿宋_GB2312"/>
          <w:color w:val="333333"/>
          <w:spacing w:val="8"/>
          <w:sz w:val="32"/>
          <w:szCs w:val="32"/>
          <w:lang w:val="en-US" w:eastAsia="zh-CN" w:bidi="ar-SA"/>
        </w:rPr>
        <w:t>。</w:t>
      </w:r>
    </w:p>
    <w:p>
      <w:pPr>
        <w:pStyle w:val="6"/>
        <w:widowControl/>
        <w:shd w:val="clear" w:color="auto" w:fill="FFFFFF"/>
        <w:autoSpaceDE/>
        <w:autoSpaceDN/>
        <w:spacing w:before="0" w:beforeAutospacing="0" w:after="0" w:afterAutospacing="0" w:line="500" w:lineRule="exact"/>
        <w:ind w:left="0" w:right="0" w:firstLine="672"/>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评审委员会于</w:t>
      </w:r>
      <w:r>
        <w:rPr>
          <w:rFonts w:hint="eastAsia" w:ascii="仿宋_GB2312" w:hAnsi="微软雅黑" w:eastAsia="仿宋_GB2312"/>
          <w:b/>
          <w:bCs/>
          <w:color w:val="333333"/>
          <w:spacing w:val="8"/>
          <w:sz w:val="32"/>
          <w:szCs w:val="32"/>
          <w:lang w:val="en-US" w:bidi="ar-SA"/>
        </w:rPr>
        <w:t>10月29日</w:t>
      </w:r>
      <w:r>
        <w:rPr>
          <w:rFonts w:hint="eastAsia" w:ascii="仿宋_GB2312" w:hAnsi="微软雅黑" w:eastAsia="仿宋_GB2312"/>
          <w:color w:val="333333"/>
          <w:spacing w:val="8"/>
          <w:sz w:val="32"/>
          <w:szCs w:val="32"/>
          <w:lang w:val="en-US" w:bidi="ar-SA"/>
        </w:rPr>
        <w:t>前确定进入复赛的项目名单。同时择期开展创新创业大赛训练营，为参赛团队及选手提供项目指导与咨询。</w:t>
      </w:r>
    </w:p>
    <w:p>
      <w:pPr>
        <w:pStyle w:val="6"/>
        <w:widowControl/>
        <w:shd w:val="clear" w:color="auto" w:fill="FFFFFF"/>
        <w:autoSpaceDE/>
        <w:autoSpaceDN/>
        <w:spacing w:before="0" w:beforeAutospacing="0" w:after="0" w:afterAutospacing="0" w:line="500" w:lineRule="exact"/>
        <w:ind w:left="0" w:right="0" w:firstLine="672"/>
        <w:jc w:val="both"/>
        <w:rPr>
          <w:rFonts w:hint="eastAsia" w:ascii="仿宋_GB2312" w:hAnsi="微软雅黑" w:eastAsia="仿宋_GB2312"/>
          <w:color w:val="333333"/>
          <w:spacing w:val="8"/>
          <w:sz w:val="32"/>
          <w:szCs w:val="32"/>
          <w:lang w:val="en-US" w:eastAsia="zh-CN" w:bidi="ar-SA"/>
        </w:rPr>
      </w:pPr>
      <w:r>
        <w:rPr>
          <w:rFonts w:hint="eastAsia" w:ascii="仿宋_GB2312" w:hAnsi="微软雅黑" w:eastAsia="仿宋_GB2312"/>
          <w:color w:val="333333"/>
          <w:spacing w:val="8"/>
          <w:sz w:val="32"/>
          <w:szCs w:val="32"/>
          <w:lang w:val="en-US" w:bidi="ar-SA"/>
        </w:rPr>
        <w:t>校园宣讲</w:t>
      </w:r>
      <w:r>
        <w:rPr>
          <w:rFonts w:hint="eastAsia" w:ascii="仿宋_GB2312" w:hAnsi="微软雅黑" w:eastAsia="仿宋_GB2312"/>
          <w:color w:val="333333"/>
          <w:spacing w:val="8"/>
          <w:sz w:val="32"/>
          <w:szCs w:val="32"/>
          <w:lang w:val="en-US" w:eastAsia="zh-CN" w:bidi="ar-SA"/>
        </w:rPr>
        <w:t>及线上专题课拟定于</w:t>
      </w:r>
      <w:r>
        <w:rPr>
          <w:rFonts w:hint="eastAsia" w:ascii="仿宋_GB2312" w:hAnsi="微软雅黑" w:eastAsia="仿宋_GB2312"/>
          <w:b/>
          <w:bCs/>
          <w:color w:val="333333"/>
          <w:spacing w:val="8"/>
          <w:sz w:val="32"/>
          <w:szCs w:val="32"/>
          <w:lang w:val="en-US" w:bidi="ar-SA"/>
        </w:rPr>
        <w:t>2021 年 11 月</w:t>
      </w:r>
      <w:r>
        <w:rPr>
          <w:rFonts w:hint="eastAsia" w:ascii="仿宋_GB2312" w:hAnsi="微软雅黑" w:eastAsia="仿宋_GB2312"/>
          <w:color w:val="333333"/>
          <w:spacing w:val="8"/>
          <w:sz w:val="32"/>
          <w:szCs w:val="32"/>
          <w:lang w:val="en-US" w:eastAsia="zh-CN" w:bidi="ar-SA"/>
        </w:rPr>
        <w:t>开展。</w:t>
      </w:r>
    </w:p>
    <w:p>
      <w:pPr>
        <w:pStyle w:val="6"/>
        <w:widowControl/>
        <w:shd w:val="clear" w:color="auto" w:fill="FFFFFF"/>
        <w:autoSpaceDE/>
        <w:autoSpaceDN/>
        <w:spacing w:before="0" w:beforeAutospacing="0" w:after="0" w:afterAutospacing="0" w:line="500" w:lineRule="exact"/>
        <w:ind w:left="0" w:right="0" w:firstLine="672"/>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进入复赛团队或个人于</w:t>
      </w:r>
      <w:r>
        <w:rPr>
          <w:rFonts w:hint="eastAsia" w:ascii="仿宋_GB2312" w:hAnsi="微软雅黑" w:eastAsia="仿宋_GB2312"/>
          <w:b/>
          <w:bCs/>
          <w:color w:val="333333"/>
          <w:spacing w:val="8"/>
          <w:sz w:val="32"/>
          <w:szCs w:val="32"/>
          <w:lang w:val="en-US" w:bidi="ar-SA"/>
        </w:rPr>
        <w:t>12月</w:t>
      </w:r>
      <w:r>
        <w:rPr>
          <w:rFonts w:hint="eastAsia" w:ascii="仿宋_GB2312" w:hAnsi="微软雅黑" w:eastAsia="仿宋_GB2312"/>
          <w:b/>
          <w:bCs/>
          <w:color w:val="333333"/>
          <w:spacing w:val="8"/>
          <w:sz w:val="32"/>
          <w:szCs w:val="32"/>
          <w:lang w:val="en-US" w:eastAsia="zh-CN" w:bidi="ar-SA"/>
        </w:rPr>
        <w:t>19</w:t>
      </w:r>
      <w:r>
        <w:rPr>
          <w:rFonts w:hint="eastAsia" w:ascii="仿宋_GB2312" w:hAnsi="微软雅黑" w:eastAsia="仿宋_GB2312"/>
          <w:b/>
          <w:bCs/>
          <w:color w:val="333333"/>
          <w:spacing w:val="8"/>
          <w:sz w:val="32"/>
          <w:szCs w:val="32"/>
          <w:lang w:val="en-US" w:bidi="ar-SA"/>
        </w:rPr>
        <w:t>日</w:t>
      </w:r>
      <w:r>
        <w:rPr>
          <w:rFonts w:hint="eastAsia" w:ascii="仿宋_GB2312" w:hAnsi="微软雅黑" w:eastAsia="仿宋_GB2312"/>
          <w:color w:val="333333"/>
          <w:spacing w:val="8"/>
          <w:sz w:val="32"/>
          <w:szCs w:val="32"/>
          <w:lang w:val="en-US" w:bidi="ar-SA"/>
        </w:rPr>
        <w:t>前下载并提交《IFF儿童用药创新大赛-方案计划书》（详见附件）至邮箱</w:t>
      </w:r>
      <w:r>
        <w:rPr>
          <w:rFonts w:hint="eastAsia" w:ascii="仿宋_GB2312" w:eastAsia="仿宋_GB2312"/>
          <w:color w:val="333333"/>
          <w:sz w:val="32"/>
          <w:szCs w:val="32"/>
          <w:shd w:val="clear" w:color="auto" w:fill="FFFFFF"/>
          <w:lang w:val="en-US" w:eastAsia="zh-CN"/>
        </w:rPr>
        <w:t>724064382@qq.com</w:t>
      </w:r>
      <w:r>
        <w:rPr>
          <w:rFonts w:hint="eastAsia" w:ascii="仿宋_GB2312" w:hAnsi="微软雅黑" w:eastAsia="仿宋_GB2312"/>
          <w:color w:val="333333"/>
          <w:spacing w:val="8"/>
          <w:sz w:val="32"/>
          <w:szCs w:val="32"/>
          <w:lang w:val="en-US" w:bidi="ar-SA"/>
        </w:rPr>
        <w:t>，专家评审小组对参赛项目进行书面评审，并确定进入决赛的项目名单。</w:t>
      </w:r>
    </w:p>
    <w:p>
      <w:pPr>
        <w:pStyle w:val="6"/>
        <w:widowControl/>
        <w:shd w:val="clear" w:color="auto" w:fill="FFFFFF"/>
        <w:autoSpaceDE/>
        <w:autoSpaceDN/>
        <w:spacing w:before="0" w:beforeAutospacing="0" w:after="0" w:afterAutospacing="0" w:line="500" w:lineRule="exact"/>
        <w:ind w:left="0" w:right="0" w:firstLine="672"/>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决赛将视情况采取校内公开答辩形式，由评委评定等级，最终结果将在院网、院官微发布。</w:t>
      </w:r>
    </w:p>
    <w:p>
      <w:pPr>
        <w:widowControl/>
        <w:autoSpaceDE/>
        <w:autoSpaceDN/>
        <w:spacing w:before="0" w:after="0" w:line="560" w:lineRule="exact"/>
        <w:ind w:left="0" w:right="0" w:firstLine="643" w:firstLineChars="200"/>
        <w:jc w:val="left"/>
        <w:rPr>
          <w:rFonts w:hint="eastAsia" w:ascii="仿宋_GB2312" w:hAnsi="微软雅黑" w:eastAsia="仿宋_GB2312"/>
          <w:color w:val="333333"/>
          <w:spacing w:val="8"/>
          <w:sz w:val="32"/>
          <w:szCs w:val="32"/>
          <w:lang w:val="en-US" w:bidi="ar-SA"/>
        </w:rPr>
      </w:pPr>
      <w:r>
        <w:rPr>
          <w:rFonts w:hint="eastAsia" w:ascii="黑体" w:hAnsi="黑体" w:eastAsia="黑体" w:cs="Times New Roman"/>
          <w:b/>
          <w:bCs/>
          <w:color w:val="000000"/>
          <w:kern w:val="2"/>
          <w:sz w:val="32"/>
          <w:szCs w:val="32"/>
          <w:lang w:val="en-US" w:bidi="ar-SA"/>
        </w:rPr>
        <w:t>七、奖项设置</w:t>
      </w:r>
    </w:p>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第一阶段：</w:t>
      </w: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3"/>
        <w:gridCol w:w="4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奖项</w:t>
            </w:r>
          </w:p>
        </w:tc>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最佳方案奖</w:t>
            </w:r>
          </w:p>
        </w:tc>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5 组</w:t>
            </w:r>
          </w:p>
        </w:tc>
      </w:tr>
    </w:tbl>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第二阶段：</w:t>
      </w: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3"/>
        <w:gridCol w:w="4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最佳团队奖</w:t>
            </w:r>
          </w:p>
        </w:tc>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1 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最佳创意奖</w:t>
            </w:r>
          </w:p>
        </w:tc>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1 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商业新星奖</w:t>
            </w:r>
          </w:p>
        </w:tc>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1 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最佳人气奖</w:t>
            </w:r>
          </w:p>
        </w:tc>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1 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最有潜力奖</w:t>
            </w:r>
          </w:p>
        </w:tc>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1 组</w:t>
            </w:r>
          </w:p>
        </w:tc>
      </w:tr>
    </w:tbl>
    <w:p>
      <w:pPr>
        <w:widowControl/>
        <w:autoSpaceDE/>
        <w:autoSpaceDN/>
        <w:spacing w:before="0" w:after="0" w:line="560" w:lineRule="exact"/>
        <w:ind w:left="0" w:right="0" w:firstLine="643" w:firstLineChars="200"/>
        <w:jc w:val="left"/>
        <w:rPr>
          <w:b/>
          <w:sz w:val="38"/>
        </w:rPr>
      </w:pPr>
      <w:r>
        <w:rPr>
          <w:rFonts w:hint="eastAsia" w:ascii="黑体" w:hAnsi="黑体" w:eastAsia="黑体" w:cs="Times New Roman"/>
          <w:b/>
          <w:bCs/>
          <w:color w:val="000000"/>
          <w:kern w:val="2"/>
          <w:sz w:val="32"/>
          <w:szCs w:val="32"/>
          <w:lang w:val="en-US" w:bidi="ar-SA"/>
        </w:rPr>
        <w:t>八、奖励情况</w:t>
      </w:r>
    </w:p>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第一阶段：</w:t>
      </w: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3"/>
        <w:gridCol w:w="4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奖项名称</w:t>
            </w:r>
          </w:p>
        </w:tc>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金 额 CNY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最佳方案奖</w:t>
            </w:r>
          </w:p>
        </w:tc>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2000</w:t>
            </w:r>
          </w:p>
        </w:tc>
      </w:tr>
    </w:tbl>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第二阶段：</w:t>
      </w: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3"/>
        <w:gridCol w:w="4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最佳团队奖</w:t>
            </w:r>
          </w:p>
        </w:tc>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5000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最佳创意奖</w:t>
            </w:r>
          </w:p>
        </w:tc>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4000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商业新星奖</w:t>
            </w:r>
          </w:p>
        </w:tc>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4000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最佳人气奖</w:t>
            </w:r>
          </w:p>
        </w:tc>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最有潜力奖</w:t>
            </w:r>
          </w:p>
        </w:tc>
        <w:tc>
          <w:tcPr>
            <w:tcW w:w="4503" w:type="dxa"/>
          </w:tcPr>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bidi="ar-SA"/>
              </w:rPr>
            </w:pPr>
            <w:r>
              <w:rPr>
                <w:rFonts w:hint="eastAsia" w:ascii="仿宋_GB2312" w:hAnsi="微软雅黑" w:eastAsia="仿宋_GB2312"/>
                <w:color w:val="333333"/>
                <w:spacing w:val="8"/>
                <w:sz w:val="32"/>
                <w:szCs w:val="32"/>
                <w:lang w:val="en-US" w:bidi="ar-SA"/>
              </w:rPr>
              <w:t>2000 元</w:t>
            </w:r>
          </w:p>
        </w:tc>
      </w:tr>
    </w:tbl>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eastAsia="zh-CN" w:bidi="ar-SA"/>
        </w:rPr>
        <w:sectPr>
          <w:type w:val="continuous"/>
          <w:pgSz w:w="11910" w:h="16840"/>
          <w:pgMar w:top="1580" w:right="1320" w:bottom="280" w:left="1340" w:header="720" w:footer="720" w:gutter="0"/>
          <w:cols w:space="720" w:num="1"/>
        </w:sectPr>
      </w:pPr>
    </w:p>
    <w:p>
      <w:pPr>
        <w:widowControl/>
        <w:autoSpaceDE/>
        <w:autoSpaceDN/>
        <w:spacing w:before="0" w:after="0" w:line="560" w:lineRule="exact"/>
        <w:ind w:right="0" w:firstLine="643" w:firstLineChars="200"/>
        <w:jc w:val="left"/>
        <w:rPr>
          <w:b/>
          <w:sz w:val="35"/>
        </w:rPr>
      </w:pPr>
      <w:r>
        <w:rPr>
          <w:rFonts w:hint="eastAsia" w:ascii="黑体" w:hAnsi="黑体" w:eastAsia="黑体" w:cs="Times New Roman"/>
          <w:b/>
          <w:bCs/>
          <w:color w:val="000000"/>
          <w:kern w:val="2"/>
          <w:sz w:val="32"/>
          <w:szCs w:val="32"/>
          <w:lang w:val="en-US" w:eastAsia="zh-CN" w:bidi="ar-SA"/>
        </w:rPr>
        <w:t>九、</w:t>
      </w:r>
      <w:r>
        <w:rPr>
          <w:rFonts w:hint="eastAsia" w:ascii="黑体" w:hAnsi="黑体" w:eastAsia="黑体" w:cs="Times New Roman"/>
          <w:b/>
          <w:bCs/>
          <w:color w:val="000000"/>
          <w:kern w:val="2"/>
          <w:sz w:val="32"/>
          <w:szCs w:val="32"/>
          <w:lang w:val="en-US" w:bidi="ar-SA"/>
        </w:rPr>
        <w:t>关于 IFF 药品解决方案</w:t>
      </w:r>
    </w:p>
    <w:p>
      <w:pPr>
        <w:pStyle w:val="6"/>
        <w:widowControl/>
        <w:shd w:val="clear" w:color="auto" w:fill="FFFFFF"/>
        <w:autoSpaceDE/>
        <w:autoSpaceDN/>
        <w:spacing w:before="0" w:beforeAutospacing="0" w:after="0" w:afterAutospacing="0" w:line="500" w:lineRule="exact"/>
        <w:ind w:right="0" w:firstLine="672" w:firstLineChars="200"/>
        <w:jc w:val="both"/>
        <w:rPr>
          <w:sz w:val="27"/>
        </w:rPr>
      </w:pPr>
      <w:r>
        <w:rPr>
          <w:rFonts w:hint="eastAsia" w:ascii="仿宋_GB2312" w:hAnsi="微软雅黑" w:eastAsia="仿宋_GB2312"/>
          <w:color w:val="333333"/>
          <w:spacing w:val="8"/>
          <w:sz w:val="32"/>
          <w:szCs w:val="32"/>
          <w:lang w:val="en-US" w:bidi="ar-SA"/>
        </w:rPr>
        <w:t>IFF 药品解决方案事业部，我们致力于帮助医药行业客户解决日常所面对的挑战，提供面向未来的解决方案，以创新的技术和稳健的辅料产品，为制剂配方及工艺难题提供解决方案，从速释制剂到缓控释制剂、从口服制剂到全身用药、几十年来，我们打造了艾维素®MCC、美多秀™HPMC 以及其他强大品牌，今天我们将在这段辉煌历史的基础上持续蓬勃发展，同时迎接充满可能的未来。</w:t>
      </w:r>
    </w:p>
    <w:p>
      <w:pPr>
        <w:pStyle w:val="6"/>
        <w:widowControl/>
        <w:shd w:val="clear" w:color="auto" w:fill="FFFFFF"/>
        <w:autoSpaceDE/>
        <w:autoSpaceDN/>
        <w:spacing w:before="0" w:beforeAutospacing="0" w:after="0" w:afterAutospacing="0" w:line="500" w:lineRule="exact"/>
        <w:ind w:right="0" w:firstLine="643" w:firstLineChars="200"/>
        <w:jc w:val="both"/>
        <w:rPr>
          <w:rFonts w:hint="eastAsia" w:ascii="仿宋_GB2312" w:hAnsi="微软雅黑" w:eastAsia="仿宋_GB2312"/>
          <w:color w:val="333333"/>
          <w:spacing w:val="8"/>
          <w:sz w:val="32"/>
          <w:szCs w:val="32"/>
          <w:lang w:val="en-US" w:bidi="ar-SA"/>
        </w:rPr>
      </w:pPr>
      <w:r>
        <w:rPr>
          <w:rFonts w:hint="eastAsia" w:ascii="黑体" w:hAnsi="黑体" w:eastAsia="黑体" w:cs="Times New Roman"/>
          <w:b/>
          <w:bCs/>
          <w:color w:val="000000"/>
          <w:kern w:val="2"/>
          <w:sz w:val="32"/>
          <w:szCs w:val="32"/>
          <w:lang w:val="en-US" w:bidi="ar-SA"/>
        </w:rPr>
        <w:t>十、附则</w:t>
      </w:r>
    </w:p>
    <w:p>
      <w:pPr>
        <w:pStyle w:val="6"/>
        <w:widowControl/>
        <w:shd w:val="clear" w:color="auto" w:fill="FFFFFF"/>
        <w:autoSpaceDE/>
        <w:autoSpaceDN/>
        <w:spacing w:before="0" w:beforeAutospacing="0" w:after="0" w:afterAutospacing="0" w:line="500" w:lineRule="exact"/>
        <w:ind w:right="0" w:firstLine="672" w:firstLineChars="200"/>
        <w:jc w:val="both"/>
        <w:rPr>
          <w:rFonts w:hint="default" w:ascii="仿宋_GB2312" w:hAnsi="微软雅黑" w:eastAsia="仿宋_GB2312"/>
          <w:color w:val="333333"/>
          <w:spacing w:val="8"/>
          <w:sz w:val="32"/>
          <w:szCs w:val="32"/>
          <w:lang w:val="en-US" w:eastAsia="zh-CN" w:bidi="ar-SA"/>
        </w:rPr>
      </w:pPr>
      <w:r>
        <w:rPr>
          <w:rFonts w:hint="eastAsia" w:ascii="仿宋_GB2312" w:hAnsi="微软雅黑" w:eastAsia="仿宋_GB2312"/>
          <w:color w:val="333333"/>
          <w:spacing w:val="8"/>
          <w:sz w:val="32"/>
          <w:szCs w:val="32"/>
          <w:lang w:val="en-US" w:eastAsia="zh-CN" w:bidi="ar-SA"/>
        </w:rPr>
        <w:t>附则1：方案计划书模板</w:t>
      </w:r>
    </w:p>
    <w:p>
      <w:pPr>
        <w:pStyle w:val="6"/>
        <w:widowControl/>
        <w:shd w:val="clear" w:color="auto" w:fill="FFFFFF"/>
        <w:autoSpaceDE/>
        <w:autoSpaceDN/>
        <w:spacing w:before="0" w:beforeAutospacing="0" w:after="0" w:afterAutospacing="0" w:line="500" w:lineRule="exact"/>
        <w:ind w:right="0" w:firstLine="672" w:firstLineChars="200"/>
        <w:jc w:val="both"/>
        <w:rPr>
          <w:rFonts w:hint="eastAsia" w:ascii="仿宋_GB2312" w:hAnsi="微软雅黑" w:eastAsia="仿宋_GB2312"/>
          <w:color w:val="333333"/>
          <w:spacing w:val="8"/>
          <w:sz w:val="32"/>
          <w:szCs w:val="32"/>
          <w:lang w:val="en-US" w:eastAsia="zh-CN" w:bidi="ar-SA"/>
        </w:rPr>
      </w:pPr>
      <w:r>
        <w:rPr>
          <w:rFonts w:hint="eastAsia" w:ascii="仿宋_GB2312" w:hAnsi="微软雅黑" w:eastAsia="仿宋_GB2312"/>
          <w:color w:val="333333"/>
          <w:spacing w:val="8"/>
          <w:sz w:val="32"/>
          <w:szCs w:val="32"/>
          <w:lang w:val="en-US" w:eastAsia="zh-CN" w:bidi="ar-SA"/>
        </w:rPr>
        <w:t>附则2：评分标准</w:t>
      </w:r>
    </w:p>
    <w:p>
      <w:pPr>
        <w:pStyle w:val="6"/>
        <w:widowControl/>
        <w:shd w:val="clear" w:color="auto" w:fill="FFFFFF"/>
        <w:autoSpaceDE/>
        <w:autoSpaceDN/>
        <w:spacing w:before="0" w:beforeAutospacing="0" w:after="0" w:afterAutospacing="0" w:line="500" w:lineRule="exact"/>
        <w:ind w:right="0" w:firstLine="672" w:firstLineChars="200"/>
        <w:jc w:val="both"/>
        <w:rPr>
          <w:rFonts w:hint="default" w:ascii="仿宋_GB2312" w:hAnsi="微软雅黑" w:eastAsia="仿宋_GB2312"/>
          <w:color w:val="333333"/>
          <w:spacing w:val="8"/>
          <w:sz w:val="32"/>
          <w:szCs w:val="32"/>
          <w:lang w:val="en-US" w:eastAsia="zh-CN" w:bidi="ar-SA"/>
        </w:rPr>
      </w:pPr>
      <w:r>
        <w:rPr>
          <w:rFonts w:hint="eastAsia" w:ascii="仿宋_GB2312" w:hAnsi="微软雅黑" w:eastAsia="仿宋_GB2312"/>
          <w:color w:val="333333"/>
          <w:spacing w:val="8"/>
          <w:sz w:val="32"/>
          <w:szCs w:val="32"/>
          <w:lang w:val="en-US" w:eastAsia="zh-CN" w:bidi="ar-SA"/>
        </w:rPr>
        <w:t>附则3：</w:t>
      </w:r>
      <w:r>
        <w:rPr>
          <w:rFonts w:hint="eastAsia" w:ascii="仿宋_GB2312" w:hAnsi="微软雅黑" w:eastAsia="仿宋_GB2312"/>
          <w:color w:val="333333"/>
          <w:spacing w:val="8"/>
          <w:sz w:val="32"/>
          <w:szCs w:val="32"/>
          <w:lang w:val="en-US" w:bidi="ar-SA"/>
        </w:rPr>
        <w:t xml:space="preserve">IFF </w:t>
      </w:r>
      <w:r>
        <w:rPr>
          <w:rFonts w:hint="eastAsia" w:ascii="仿宋_GB2312" w:hAnsi="微软雅黑" w:eastAsia="仿宋_GB2312"/>
          <w:color w:val="333333"/>
          <w:spacing w:val="8"/>
          <w:sz w:val="32"/>
          <w:szCs w:val="32"/>
          <w:lang w:val="en-US" w:eastAsia="zh-CN" w:bidi="ar-SA"/>
        </w:rPr>
        <w:t>药品解决方案 产品组合</w:t>
      </w:r>
    </w:p>
    <w:p>
      <w:pPr>
        <w:pStyle w:val="5"/>
        <w:spacing w:before="17"/>
        <w:rPr>
          <w:b/>
        </w:rPr>
      </w:pPr>
    </w:p>
    <w:sectPr>
      <w:pgSz w:w="11910" w:h="16840"/>
      <w:pgMar w:top="1380" w:right="1320" w:bottom="280" w:left="13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47FF2CB7"/>
    <w:rsid w:val="4DD24CB3"/>
    <w:rsid w:val="5ADB17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220"/>
      <w:outlineLvl w:val="1"/>
    </w:pPr>
    <w:rPr>
      <w:rFonts w:ascii="微软雅黑" w:hAnsi="微软雅黑" w:eastAsia="微软雅黑" w:cs="微软雅黑"/>
      <w:b/>
      <w:bCs/>
      <w:sz w:val="20"/>
      <w:szCs w:val="20"/>
      <w:lang w:val="zh-CN" w:eastAsia="zh-CN" w:bidi="zh-CN"/>
    </w:rPr>
  </w:style>
  <w:style w:type="paragraph" w:styleId="3">
    <w:name w:val="heading 2"/>
    <w:basedOn w:val="1"/>
    <w:next w:val="1"/>
    <w:qFormat/>
    <w:uiPriority w:val="1"/>
    <w:pPr>
      <w:ind w:left="220"/>
      <w:outlineLvl w:val="2"/>
    </w:pPr>
    <w:rPr>
      <w:rFonts w:ascii="微软雅黑" w:hAnsi="微软雅黑" w:eastAsia="微软雅黑" w:cs="微软雅黑"/>
      <w:b/>
      <w:bCs/>
      <w:sz w:val="18"/>
      <w:szCs w:val="18"/>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仿宋_GB2312" w:cs="Times New Roman"/>
      <w:sz w:val="32"/>
      <w:szCs w:val="20"/>
    </w:rPr>
  </w:style>
  <w:style w:type="paragraph" w:styleId="5">
    <w:name w:val="Body Text"/>
    <w:basedOn w:val="1"/>
    <w:qFormat/>
    <w:uiPriority w:val="1"/>
    <w:rPr>
      <w:rFonts w:ascii="微软雅黑" w:hAnsi="微软雅黑" w:eastAsia="微软雅黑" w:cs="微软雅黑"/>
      <w:sz w:val="18"/>
      <w:szCs w:val="18"/>
      <w:lang w:val="zh-CN" w:eastAsia="zh-CN" w:bidi="zh-CN"/>
    </w:rPr>
  </w:style>
  <w:style w:type="paragraph" w:styleId="6">
    <w:name w:val="Normal (Web)"/>
    <w:basedOn w:val="1"/>
    <w:qFormat/>
    <w:uiPriority w:val="99"/>
    <w:pPr>
      <w:spacing w:before="100" w:beforeAutospacing="1" w:after="100" w:afterAutospacing="1"/>
    </w:pPr>
    <w:rPr>
      <w:rFonts w:ascii="宋体" w:hAnsi="宋体" w:eastAsia="宋体" w:cs="宋体"/>
      <w:kern w:val="0"/>
      <w:sz w:val="24"/>
      <w:szCs w:val="24"/>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940" w:hanging="361"/>
    </w:pPr>
    <w:rPr>
      <w:rFonts w:ascii="微软雅黑" w:hAnsi="微软雅黑" w:eastAsia="微软雅黑" w:cs="微软雅黑"/>
      <w:lang w:val="zh-CN" w:eastAsia="zh-CN" w:bidi="zh-CN"/>
    </w:rPr>
  </w:style>
  <w:style w:type="paragraph" w:customStyle="1" w:styleId="11">
    <w:name w:val="Table Paragraph"/>
    <w:basedOn w:val="1"/>
    <w:qFormat/>
    <w:uiPriority w:val="1"/>
    <w:pPr>
      <w:spacing w:line="322" w:lineRule="exact"/>
      <w:ind w:left="107"/>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ScaleCrop>false</ScaleCrop>
  <LinksUpToDate>false</LinksUpToDate>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2021-09-18T08:04:00Z</dcterms:created>
  <dc:creator>k</dc:creator>
  <cp:lastModifiedBy>王小咬</cp:lastModifiedBy>
  <dcterms:modified xsi:type="dcterms:W3CDTF">2021-09-22T08:49:32Z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for Office 365</vt:lpwstr>
  </property>
  <property fmtid="{D5CDD505-2E9C-101B-9397-08002B2CF9AE}" pid="4" name="LastSaved">
    <vt:filetime>2021-09-18T00:00:00Z</vt:filetime>
  </property>
  <property fmtid="{D5CDD505-2E9C-101B-9397-08002B2CF9AE}" pid="5" name="KSOProductBuildVer">
    <vt:lpwstr>2052-11.1.0.10938</vt:lpwstr>
  </property>
  <property fmtid="{D5CDD505-2E9C-101B-9397-08002B2CF9AE}" pid="6" name="ICV">
    <vt:lpwstr>B10704D05443426D9B65922761A7DB32</vt:lpwstr>
  </property>
</Properties>
</file>